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customXml/item1.xml" ContentType="application/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Relationship Id="appR1" Type="http://schemas.openxmlformats.org/officeDocument/2006/relationships/extended-properties" Target="/docProps/app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body>
    <w:p>
      <w:pPr>
        <w:pStyle w:val="P1"/>
        <w:spacing w:after="240" w:beforeAutospacing="0" w:afterAutospacing="0"/>
        <w:jc w:val="center"/>
      </w:pPr>
      <w:r>
        <w:rPr>
          <w:noProof w:val="1"/>
        </w:rPr>
        <w:drawing>
          <wp:inline xmlns:wp="http://schemas.openxmlformats.org/drawingml/2006/wordprocessingDrawing" distT="0" distB="0" distL="0" distR="0">
            <wp:extent cx="5640070" cy="2070100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 dpi="0">
                    <a:blip xmlns:r="http://schemas.openxmlformats.org/officeDocument/2006/relationships" r:embed="Relimage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070" cy="20701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P1"/>
        <w:spacing w:after="240" w:beforeAutospacing="0" w:afterAutospacing="0"/>
        <w:jc w:val="center"/>
      </w:pPr>
      <w:r>
        <w:t>EESTI SAARTE KOGU ARENGUKAVA 2024 - 2030</w:t>
      </w:r>
    </w:p>
    <w:p>
      <w:pPr>
        <w:pStyle w:val="P1"/>
        <w:rPr>
          <w:sz w:val="24"/>
          <w:szCs w:val="24"/>
        </w:rPr>
      </w:pPr>
      <w:bookmarkStart w:id="0" w:name="_heading=h.6pfrlu25wi"/>
      <w:bookmarkEnd w:id="0"/>
      <w:r>
        <w:rPr>
          <w:sz w:val="24"/>
          <w:szCs w:val="24"/>
        </w:rPr>
        <w:t>MISSIOON</w:t>
      </w:r>
    </w:p>
    <w:p>
      <w:pPr>
        <w:pStyle w:val="P12"/>
        <w:rPr>
          <w:rFonts w:ascii="Cambria" w:hAnsi="Cambria"/>
        </w:rPr>
      </w:pPr>
      <w:r>
        <w:rPr>
          <w:rFonts w:ascii="Cambria" w:hAnsi="Cambria" w:cs="Cambria" w:eastAsia="Cambria"/>
        </w:rPr>
        <w:t xml:space="preserve">ESK missioon on toetada püsiasustust ja selle taastamist ning elurikkust Eesti saartel  edendades saarlaskondade omavahelist suhtlemist, koostööd ja solidaarsust ning esindades ja teadvustades saarte huve nii Eestis kui rahvusvahelisel tasandil.</w:t>
      </w:r>
    </w:p>
    <w:p>
      <w:pPr>
        <w:pStyle w:val="P3"/>
        <w:rPr>
          <w:rFonts w:ascii="Cambria" w:hAnsi="Cambria"/>
          <w:sz w:val="24"/>
          <w:szCs w:val="24"/>
          <w:lang w:val="sv-SE"/>
        </w:rPr>
      </w:pPr>
      <w:bookmarkStart w:id="1" w:name="_heading=h.5oukqm2z53tr"/>
      <w:bookmarkEnd w:id="1"/>
      <w:r>
        <w:rPr>
          <w:rFonts w:ascii="Cambria" w:hAnsi="Cambria" w:cs="Cambria" w:eastAsia="Cambria"/>
          <w:color w:val="365F91"/>
          <w:sz w:val="24"/>
          <w:szCs w:val="24"/>
          <w:lang w:val="sv-SE"/>
        </w:rPr>
        <w:t>VISIOON</w:t>
      </w:r>
    </w:p>
    <w:p>
      <w:pPr>
        <w:pStyle w:val="P12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>Aastaks 2030 ja edaspidi on ESK mõjukas ja usaldusväärne Eesti saarte esindusorganisatsioon ja selleks ESK:</w:t>
      </w:r>
    </w:p>
    <w:p>
      <w:pPr>
        <w:pStyle w:val="P12"/>
        <w:rPr>
          <w:rFonts w:ascii="Cambria" w:hAnsi="Cambria" w:cs="Cambria" w:eastAsia="Cambria"/>
          <w:lang w:val="sv-SE"/>
        </w:rPr>
      </w:pPr>
    </w:p>
    <w:p>
      <w:pPr>
        <w:pStyle w:val="P12"/>
        <w:numPr>
          <w:ilvl w:val="0"/>
          <w:numId w:val="2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>valdab ajakohast põhjalikku teavet Eesti saarte olukorrast,</w:t>
      </w:r>
    </w:p>
    <w:p>
      <w:pPr>
        <w:pStyle w:val="P12"/>
        <w:numPr>
          <w:ilvl w:val="0"/>
          <w:numId w:val="2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 xml:space="preserve">toimib saarte teabevahetuse ja ühiste seisukohtade kujundamise järjepideva foorumina, </w:t>
      </w:r>
    </w:p>
    <w:p>
      <w:pPr>
        <w:pStyle w:val="P12"/>
        <w:numPr>
          <w:ilvl w:val="0"/>
          <w:numId w:val="2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>algatab ja juhib saarte ühiseid arendusprojekte,</w:t>
      </w:r>
    </w:p>
    <w:p>
      <w:pPr>
        <w:pStyle w:val="P12"/>
        <w:numPr>
          <w:ilvl w:val="0"/>
          <w:numId w:val="2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>esindab püsivalt saarte huve õigusloomes ning suhetes avalikkuse ja ühiskonnaga,</w:t>
      </w:r>
    </w:p>
    <w:p>
      <w:pPr>
        <w:pStyle w:val="P12"/>
        <w:numPr>
          <w:ilvl w:val="0"/>
          <w:numId w:val="2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>on oma partnerite poolt tunnustatud saarte elu tundja ja nende huvide esindaja.</w:t>
      </w:r>
    </w:p>
    <w:p>
      <w:pPr>
        <w:pStyle w:val="P12"/>
        <w:rPr>
          <w:rFonts w:ascii="Cambria" w:hAnsi="Cambria"/>
          <w:lang w:val="sv-SE"/>
        </w:rPr>
      </w:pPr>
    </w:p>
    <w:p>
      <w:pPr>
        <w:pStyle w:val="P2"/>
        <w:ind w:firstLine="0" w:left="0"/>
        <w:rPr>
          <w:sz w:val="24"/>
          <w:szCs w:val="24"/>
          <w:lang w:val="sv-SE"/>
        </w:rPr>
      </w:pPr>
      <w:r>
        <w:rPr>
          <w:color w:val="365F91"/>
          <w:sz w:val="24"/>
          <w:szCs w:val="24"/>
          <w:lang w:val="sv-SE"/>
        </w:rPr>
        <w:t>STRATEEGIA</w:t>
      </w:r>
    </w:p>
    <w:p>
      <w:pPr>
        <w:pStyle w:val="P12"/>
        <w:rPr>
          <w:rFonts w:ascii="Cambria" w:hAnsi="Cambria"/>
          <w:lang w:val="sv-SE"/>
        </w:rPr>
      </w:pPr>
    </w:p>
    <w:p>
      <w:pPr>
        <w:pStyle w:val="P12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>Missiooni täitmiseks ja visiooni saavutamiseks seab ESK endale eesmärgid.</w:t>
      </w:r>
    </w:p>
    <w:p>
      <w:pPr>
        <w:pStyle w:val="P12"/>
        <w:rPr>
          <w:rFonts w:ascii="Cambria" w:hAnsi="Cambria"/>
          <w:lang w:val="sv-SE"/>
        </w:rPr>
      </w:pPr>
    </w:p>
    <w:p>
      <w:pPr>
        <w:pStyle w:val="P12"/>
        <w:rPr>
          <w:rFonts w:ascii="Cambria" w:hAnsi="Cambria"/>
        </w:rPr>
      </w:pPr>
      <w:r>
        <w:rPr>
          <w:rFonts w:ascii="Cambria" w:hAnsi="Cambria" w:cs="Cambria" w:eastAsia="Cambria"/>
        </w:rPr>
        <w:t xml:space="preserve">ESK </w:t>
      </w:r>
      <w:r>
        <w:rPr>
          <w:rFonts w:ascii="Cambria" w:hAnsi="Cambria" w:cs="Cambria" w:eastAsia="Cambria"/>
          <w:b w:val="1"/>
          <w:color w:val="365F91"/>
        </w:rPr>
        <w:t>kümme eesmärki</w:t>
      </w:r>
      <w:r>
        <w:rPr>
          <w:rFonts w:ascii="Cambria" w:hAnsi="Cambria" w:cs="Cambria" w:eastAsia="Cambria"/>
        </w:rPr>
        <w:t xml:space="preserve"> aastaks 2030 on järgmised:</w:t>
      </w:r>
    </w:p>
    <w:p>
      <w:pPr>
        <w:pStyle w:val="P12"/>
        <w:rPr>
          <w:rFonts w:ascii="Cambria" w:hAnsi="Cambria"/>
          <w:b w:val="1"/>
        </w:rPr>
      </w:pPr>
    </w:p>
    <w:p>
      <w:pPr>
        <w:pStyle w:val="P12"/>
        <w:rPr>
          <w:rFonts w:ascii="Cambria" w:hAnsi="Cambria"/>
        </w:rPr>
      </w:pPr>
      <w:r>
        <w:rPr>
          <w:rFonts w:ascii="Cambria" w:hAnsi="Cambria" w:cs="Cambria" w:eastAsia="Cambria"/>
          <w:b w:val="1"/>
          <w:color w:val="365F91"/>
        </w:rPr>
        <w:t>Liikme- ja partnerivaates</w:t>
      </w:r>
    </w:p>
    <w:p>
      <w:pPr>
        <w:pStyle w:val="P12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Cambria" w:eastAsia="Cambria"/>
          <w:color w:val="000000"/>
        </w:rPr>
        <w:t>ESK -</w:t>
      </w:r>
      <w:r>
        <w:rPr>
          <w:rFonts w:ascii="Cambria" w:hAnsi="Cambria" w:cs="Cambria" w:eastAsia="Cambria"/>
        </w:rPr>
        <w:t xml:space="preserve">s </w:t>
      </w:r>
      <w:r>
        <w:rPr>
          <w:rFonts w:ascii="Cambria" w:hAnsi="Cambria" w:cs="Cambria" w:eastAsia="Cambria"/>
          <w:color w:val="000000"/>
        </w:rPr>
        <w:t>on kokku lepitud saartepoliitika põhimõtted, millest oma tegevuses juhindutakse.</w:t>
      </w:r>
    </w:p>
    <w:p>
      <w:pPr>
        <w:pStyle w:val="P12"/>
        <w:numPr>
          <w:ilvl w:val="0"/>
          <w:numId w:val="1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>Saarlaskonnad tunnetavad kasu ESK tegevusest.</w:t>
      </w:r>
    </w:p>
    <w:p>
      <w:pPr>
        <w:pStyle w:val="P12"/>
        <w:numPr>
          <w:ilvl w:val="0"/>
          <w:numId w:val="1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>Riigiasutused ja teised partnerid küsivad ja arvestavad ESK arvamust.</w:t>
      </w:r>
    </w:p>
    <w:p>
      <w:pPr>
        <w:pStyle w:val="P12"/>
        <w:rPr>
          <w:rFonts w:ascii="Cambria" w:hAnsi="Cambria"/>
          <w:b w:val="1"/>
          <w:lang w:val="sv-SE"/>
        </w:rPr>
      </w:pPr>
    </w:p>
    <w:p>
      <w:pPr>
        <w:pStyle w:val="P12"/>
        <w:rPr>
          <w:rFonts w:ascii="Cambria" w:hAnsi="Cambria"/>
        </w:rPr>
      </w:pPr>
      <w:r>
        <w:rPr>
          <w:rFonts w:ascii="Cambria" w:hAnsi="Cambria" w:cs="Cambria" w:eastAsia="Cambria"/>
          <w:b w:val="1"/>
          <w:color w:val="365F91"/>
        </w:rPr>
        <w:t>Siseprotsesside vaates</w:t>
      </w:r>
    </w:p>
    <w:p>
      <w:pPr>
        <w:pStyle w:val="P12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Cambria" w:eastAsia="Cambria"/>
          <w:color w:val="000000"/>
        </w:rPr>
        <w:t>Liikmeskonnas on esindatud kõik püsiasustusega Eesti saared.</w:t>
      </w:r>
    </w:p>
    <w:p>
      <w:pPr>
        <w:pStyle w:val="P12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Cambria" w:eastAsia="Cambria"/>
          <w:color w:val="000000"/>
        </w:rPr>
        <w:t>ESK on kõiki püsiasustusega saari kaasava veebipõhise infovõrgustiku sõlmpunkt.</w:t>
      </w:r>
    </w:p>
    <w:p>
      <w:pPr>
        <w:pStyle w:val="P12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Cambria" w:eastAsia="Cambria"/>
          <w:color w:val="000000"/>
        </w:rPr>
        <w:t xml:space="preserve">ESK-l on toimiv büroo, operatiivselt tegutsev </w:t>
      </w:r>
      <w:r>
        <w:rPr>
          <w:rFonts w:ascii="Cambria" w:hAnsi="Cambria" w:cs="Cambria" w:eastAsia="Cambria"/>
        </w:rPr>
        <w:t>juhatus</w:t>
      </w:r>
      <w:r>
        <w:rPr>
          <w:rFonts w:ascii="Cambria" w:hAnsi="Cambria" w:cs="Cambria" w:eastAsia="Cambria"/>
          <w:color w:val="000000"/>
        </w:rPr>
        <w:t xml:space="preserve"> ning asjatundlik </w:t>
      </w:r>
      <w:r>
        <w:rPr>
          <w:rFonts w:ascii="Cambria" w:hAnsi="Cambria" w:cs="Cambria" w:eastAsia="Cambria"/>
        </w:rPr>
        <w:t>eestseisus</w:t>
      </w:r>
      <w:r>
        <w:rPr>
          <w:rFonts w:ascii="Cambria" w:hAnsi="Cambria" w:cs="Cambria" w:eastAsia="Cambria"/>
          <w:color w:val="000000"/>
        </w:rPr>
        <w:t>.</w:t>
      </w:r>
    </w:p>
    <w:p>
      <w:pPr>
        <w:pStyle w:val="P12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Cambria" w:eastAsia="Cambria"/>
          <w:color w:val="000000"/>
          <w:lang w:val="sv-SE"/>
        </w:rPr>
        <w:t xml:space="preserve">ESK jälgib pidevalt saarte huvide arvestamist õigusloomes ja halduses. </w:t>
      </w:r>
      <w:r>
        <w:rPr>
          <w:rFonts w:ascii="Cambria" w:hAnsi="Cambria" w:cs="Cambria" w:eastAsia="Cambria"/>
          <w:color w:val="000000"/>
        </w:rPr>
        <w:t>Vastavad algatused ja ettepanekud on pädevalt ja õigeaegselt esitatud.</w:t>
      </w:r>
    </w:p>
    <w:p>
      <w:pPr>
        <w:pStyle w:val="P12"/>
        <w:numPr>
          <w:ilvl w:val="0"/>
          <w:numId w:val="1"/>
        </w:numPr>
        <w:rPr>
          <w:rFonts w:ascii="Cambria" w:hAnsi="Cambria"/>
          <w:lang w:val="sv-SE"/>
        </w:rPr>
      </w:pPr>
      <w:r>
        <w:rPr>
          <w:rFonts w:ascii="Cambria" w:hAnsi="Cambria" w:cs="Cambria" w:eastAsia="Cambria"/>
          <w:color w:val="000000"/>
          <w:lang w:val="sv-SE"/>
        </w:rPr>
        <w:t>ESK algatatud saarlaskondade ühised arendusprojektid on kujunenud tavaks.</w:t>
      </w:r>
    </w:p>
    <w:p>
      <w:pPr>
        <w:pStyle w:val="P12"/>
        <w:ind w:left="360"/>
        <w:rPr>
          <w:rFonts w:ascii="Cambria" w:hAnsi="Cambria" w:cs="Cambria" w:eastAsia="Cambria"/>
          <w:color w:val="000000"/>
          <w:lang w:val="sv-SE"/>
        </w:rPr>
      </w:pPr>
    </w:p>
    <w:p>
      <w:pPr>
        <w:pStyle w:val="P12"/>
        <w:rPr>
          <w:rFonts w:ascii="Cambria" w:hAnsi="Cambria"/>
        </w:rPr>
      </w:pPr>
      <w:r>
        <w:rPr>
          <w:rFonts w:ascii="Cambria" w:hAnsi="Cambria" w:cs="Cambria" w:eastAsia="Cambria"/>
          <w:b w:val="1"/>
          <w:color w:val="365F91"/>
        </w:rPr>
        <w:t>Õppimise ja arenemise vaates</w:t>
      </w:r>
    </w:p>
    <w:p>
      <w:pPr>
        <w:pStyle w:val="P12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Cambria" w:eastAsia="Cambria"/>
          <w:color w:val="000000"/>
        </w:rPr>
        <w:t xml:space="preserve">ESK osaleb vabaühenduste võrgustike töös ning pakub oma  liikmetele, töötajatele ja aktivistidele  õppimise- ja koostöövõimalusi. </w:t>
      </w:r>
    </w:p>
    <w:p>
      <w:pPr>
        <w:pStyle w:val="P12"/>
        <w:ind w:left="360"/>
        <w:rPr>
          <w:rFonts w:ascii="Cambria" w:hAnsi="Cambria" w:cs="Cambria" w:eastAsia="Cambria"/>
          <w:color w:val="000000"/>
        </w:rPr>
      </w:pPr>
    </w:p>
    <w:p>
      <w:pPr>
        <w:pStyle w:val="P12"/>
        <w:rPr>
          <w:rFonts w:ascii="Cambria" w:hAnsi="Cambria"/>
        </w:rPr>
      </w:pPr>
      <w:r>
        <w:rPr>
          <w:rFonts w:ascii="Cambria" w:hAnsi="Cambria" w:cs="Cambria" w:eastAsia="Cambria"/>
          <w:b w:val="1"/>
          <w:color w:val="365F91"/>
        </w:rPr>
        <w:t>Finantsvaates</w:t>
      </w:r>
    </w:p>
    <w:p>
      <w:pPr>
        <w:pStyle w:val="P12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 w:cs="Cambria" w:eastAsia="Cambria"/>
          <w:color w:val="000000"/>
        </w:rPr>
        <w:t>Tulubaas kindlustab alaliselt vähemalt büroo püsikulude katmise.</w:t>
      </w:r>
    </w:p>
    <w:p>
      <w:pPr>
        <w:pStyle w:val="P12"/>
        <w:ind w:left="720"/>
        <w:rPr>
          <w:rFonts w:ascii="Cambria" w:hAnsi="Cambria"/>
          <w:color w:val="000000"/>
        </w:rPr>
      </w:pPr>
    </w:p>
    <w:p>
      <w:pPr>
        <w:pStyle w:val="P12"/>
        <w:spacing w:before="28" w:after="28" w:beforeAutospacing="0" w:afterAutospacing="0"/>
        <w:rPr>
          <w:rFonts w:ascii="Cambria" w:hAnsi="Cambria"/>
        </w:rPr>
      </w:pPr>
      <w:r>
        <w:rPr>
          <w:rFonts w:ascii="Cambria" w:hAnsi="Cambria" w:cs="Cambria" w:eastAsia="Cambria"/>
          <w:color w:val="000000"/>
        </w:rPr>
        <w:t>Püstitatud eesmärkide saavutamiseks tehakse järgmist :</w:t>
      </w:r>
    </w:p>
    <w:p>
      <w:pPr>
        <w:pStyle w:val="P12"/>
        <w:spacing w:before="28" w:after="28" w:beforeAutospacing="0" w:afterAutospacing="0"/>
        <w:rPr>
          <w:rFonts w:ascii="Cambria" w:hAnsi="Cambria"/>
          <w:color w:val="000000"/>
        </w:rPr>
      </w:pPr>
    </w:p>
    <w:tbl>
      <w:tblPr>
        <w:tblW w:w="8910" w:type="dxa"/>
        <w:tblInd w:w="68" w:type="dxa"/>
        <w:tblLayout w:type="fixed"/>
        <w:tblLook w:val="0000"/>
      </w:tblPr>
      <w:tblGrid>
        <w:gridCol w:w="4410"/>
        <w:gridCol w:w="4500"/>
      </w:tblGrid>
      <w:tr>
        <w:trPr>
          <w:trHeight w:hRule="atLeast" w:val="270"/>
        </w:trPr>
        <w:tc>
          <w:tcPr>
            <w:tcW w:w="44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before="28" w:beforeAutospacing="0" w:afterAutospacing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  <w:b w:val="1"/>
                <w:color w:val="365F91"/>
              </w:rPr>
              <w:t>Eesmärgid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before="28" w:beforeAutospacing="0" w:afterAutospacing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  <w:b w:val="1"/>
                <w:color w:val="365F91"/>
              </w:rPr>
              <w:t>Tegevused</w:t>
            </w:r>
          </w:p>
        </w:tc>
      </w:tr>
      <w:tr>
        <w:trPr>
          <w:trHeight w:hRule="atLeast" w:val="827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ind w:left="417" w:right="-8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 xml:space="preserve">1. ESK -l on kokku lepitud saartepoliitika põhimõtted, millest oma tegevuses juhindutakse  suhetes riigiga ja KOV-dega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1.1. Saartepoliitika põhimõtete väljatöötamine ja ajakohastamine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827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1.2 VSaarteS kaasajastamine ja hilisem Saarte seaduseks ümberkujundamine</w:t>
            </w:r>
          </w:p>
        </w:tc>
      </w:tr>
      <w:tr>
        <w:trPr>
          <w:trHeight w:hRule="atLeast" w:val="745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ind w:left="417" w:right="-8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2. Saarlaskonnad tunnetavad kasu ESK tegevusest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2.1. Kodulehe uudiste rubriigi järjepidev täiendamine</w:t>
            </w:r>
          </w:p>
        </w:tc>
      </w:tr>
      <w:tr>
        <w:trPr>
          <w:trHeight w:hRule="atLeast" w:val="270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2.2. Sihipärane PR töö pressis sh koostöö kohalike ja maakonnalehtedega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413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2.3. ESK esindamine ning osalemine saarte jaoks olulistel üritustel ja erinevate teemade arutlustel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413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2.4. ESK toetab enda liikmete ühiste arendusprojektide ideid ja tagab koostöös strateegiliste partneritega nende rahastamise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417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ind w:left="417" w:right="-8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3. Riigiasutused ja teised partnerid küsivad ja arvestavad ESK arvamust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3.1. Koostöölepped strateegiliste partneritega</w:t>
            </w:r>
          </w:p>
        </w:tc>
      </w:tr>
      <w:tr>
        <w:trPr>
          <w:trHeight w:hRule="atLeast" w:val="551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3.2. Ekspertide kaasamine ja uuringute korraldamine ESK seisukohtade toetamiseks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551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3.3. Eesti Saarte Instituudi asutamine koostöös strateegiliste partnerite ja riigiga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color w:val="2E75B5"/>
                <w:lang w:val="sv-SE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ind w:left="417" w:right="-8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4. Liikmeskonnas on esindatud kõik püsiasustusega Eesti saared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4.1. Liikmeskonna suunatud laiendamine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4.2. ESK ürituste rotatsioon saartel kaasates kohalikke kogukondi</w:t>
            </w:r>
            <w:r>
              <w:rPr>
                <w:rFonts w:ascii="Cambria" w:hAnsi="Cambria" w:cs="Cambria" w:eastAsia="Cambria"/>
                <w:color w:val="2E75B5"/>
              </w:rPr>
              <w:t xml:space="preserve">: </w:t>
            </w:r>
            <w:r>
              <w:rPr>
                <w:rFonts w:ascii="Cambria" w:hAnsi="Cambria" w:cs="Cambria" w:eastAsia="Cambria"/>
              </w:rPr>
              <w:t>Saarte noorte pärimuspäevad jmt.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413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ind w:left="417" w:right="-8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5. ESK on kõiki püsiasustusega saari kaasava infovõrgustiku sõlmpunkt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5.1. ESK osalemine sotsiaalvõrgustikes ja oma veebilehe edasiarendamine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413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 xml:space="preserve">5.2. Erinevatest riigiasutustest ja komisjonidest saari puudutava teabe vahendamine liikmetele 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413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5.3. Kaastöökogu taasloomine ja ESK-s toimuvast teavitamine, et hoida kõiki osapooli ühises infoväljas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5.4. Rahvusvaheliste saarte uudiste ja teabe edastamine ESK listis ja veebilehel (nt Euroopa Väikesaarte Ühendus/ ESIN) ning vastupidi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413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ind w:left="417" w:right="-8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6. ESK-l on toimiv büroo, operatiivselt tegutsev juhatus ning asjatundlik eestseisus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 xml:space="preserve">6.1. ESK- l  on tegevsekretär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413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6.2. ESK-l on büroo ülalpidamiseks ja tegevsekretäri tasustamiseks piisavalt ressursse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ind w:left="423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  <w:color w:val="000000"/>
              </w:rPr>
              <w:t xml:space="preserve">7. ESK </w:t>
            </w:r>
            <w:r>
              <w:rPr>
                <w:rFonts w:ascii="Cambria" w:hAnsi="Cambria" w:cs="Cambria" w:eastAsia="Cambria"/>
              </w:rPr>
              <w:t>aitab kaasa</w:t>
            </w:r>
            <w:r>
              <w:rPr>
                <w:rFonts w:ascii="Cambria" w:hAnsi="Cambria" w:cs="Cambria" w:eastAsia="Cambria"/>
                <w:color w:val="000000"/>
              </w:rPr>
              <w:t xml:space="preserve"> saarte huvide </w:t>
            </w:r>
            <w:r>
              <w:rPr>
                <w:rFonts w:ascii="Cambria" w:hAnsi="Cambria" w:cs="Cambria" w:eastAsia="Cambria"/>
              </w:rPr>
              <w:t>süsteemsele</w:t>
            </w:r>
            <w:r>
              <w:rPr>
                <w:rFonts w:ascii="Cambria" w:hAnsi="Cambria" w:cs="Cambria" w:eastAsia="Cambria"/>
                <w:color w:val="000000"/>
              </w:rPr>
              <w:t xml:space="preserve"> arvestamis</w:t>
            </w:r>
            <w:r>
              <w:rPr>
                <w:rFonts w:ascii="Cambria" w:hAnsi="Cambria" w:cs="Cambria" w:eastAsia="Cambria"/>
              </w:rPr>
              <w:t>ele</w:t>
            </w:r>
            <w:r>
              <w:rPr>
                <w:rFonts w:ascii="Cambria" w:hAnsi="Cambria" w:cs="Cambria" w:eastAsia="Cambria"/>
                <w:color w:val="000000"/>
              </w:rPr>
              <w:t xml:space="preserve"> õigusloomes ja halduses. Vastavad ettepanekud on pädevalt ja õigeaegselt esitatud.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7.1. Koostöö Riigikogu saarte ühendusega saartesse puutuva seadusloome alal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7.2. Avalike konsultatsioonide jälgimine ning vajadusel saarte huvide eest seismine, aktiivne ja pidev osalemine Saarte Komisjonis, mis toimib Rahandusministeeriumi juures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869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7.3. Saarte eriesindaja ehk saarte ombudsmani töökoha loomine Regionaal- ja Põllumajandusministeeriumi juurde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738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7.4. ESK esindajate nimetamine valitsuskomisjonidesse ja riigi töörühmadesse</w:t>
            </w:r>
          </w:p>
        </w:tc>
      </w:tr>
      <w:tr>
        <w:trPr>
          <w:trHeight w:hRule="atLeast" w:val="738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7.5. ESK aitab KOV-i advekaatse info tagasisidestamise kaudu, et tagada VSaarteS eesmärkide täitmine</w:t>
            </w:r>
          </w:p>
        </w:tc>
      </w:tr>
      <w:tr>
        <w:trPr>
          <w:trHeight w:hRule="atLeast" w:val="270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 xml:space="preserve">8. ESK osaleb vabaühenduste võrgustike töös ning pakub oma  liikmetele, töötajatele ja aktivistidele  õppimise- ja koostöövõimalusi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8.1. Liikmetele ja töötajatele koolitus- ja kogemusseminaride korraldamine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  <w:lang w:val="sv-SE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 xml:space="preserve">8.2. Aktiivne osalemine ESIN  töös ja teabe vahendamine veebilehel ja võrgustikus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9</w:t>
            </w:r>
            <w:r>
              <w:rPr>
                <w:rFonts w:ascii="Cambria" w:hAnsi="Cambria" w:cs="Cambria" w:eastAsia="Cambria"/>
                <w:color w:val="000000"/>
                <w:lang w:val="sv-SE"/>
              </w:rPr>
              <w:t>. Tulubaas kindlustab alaliselt vähemalt büroo püsikulude katmise.</w:t>
            </w: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</w:rPr>
            </w:pPr>
            <w:r>
              <w:rPr>
                <w:rFonts w:ascii="Cambria" w:hAnsi="Cambria" w:cs="Cambria" w:eastAsia="Cambria"/>
              </w:rPr>
              <w:t>9.1. Liikmemaksude laekumise tagamine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</w:rPr>
            </w:pPr>
          </w:p>
        </w:tc>
      </w:tr>
      <w:tr>
        <w:trPr>
          <w:trHeight w:hRule="atLeast" w:val="270"/>
        </w:trPr>
        <w:tc>
          <w:tcPr>
            <w:tcW w:w="4410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spacing w:lineRule="auto" w:line="276" w:beforeAutospacing="0" w:afterAutospacing="0"/>
              <w:rPr>
                <w:rFonts w:ascii="Cambria" w:hAnsi="Cambria"/>
              </w:rPr>
            </w:pPr>
          </w:p>
        </w:tc>
        <w:tc>
          <w:tcPr>
            <w:tcW w:w="450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auto"/>
          </w:tcPr>
          <w:p>
            <w:pPr>
              <w:pStyle w:val="P12"/>
              <w:widowControl w:val="0"/>
              <w:rPr>
                <w:rFonts w:ascii="Cambria" w:hAnsi="Cambria"/>
                <w:lang w:val="sv-SE"/>
              </w:rPr>
            </w:pPr>
            <w:r>
              <w:rPr>
                <w:rFonts w:ascii="Cambria" w:hAnsi="Cambria" w:cs="Cambria" w:eastAsia="Cambria"/>
                <w:lang w:val="sv-SE"/>
              </w:rPr>
              <w:t>9.2. Püsiva tegevustoetuse taotlemine strateegilistelt partneritelt bürookulude ja tegevsekretäri palgafondi jaoks</w:t>
            </w:r>
          </w:p>
          <w:p>
            <w:pPr>
              <w:pStyle w:val="P12"/>
              <w:widowControl w:val="0"/>
              <w:rPr>
                <w:rFonts w:ascii="Cambria" w:hAnsi="Cambria" w:cs="Cambria" w:eastAsia="Cambria"/>
                <w:lang w:val="sv-SE"/>
              </w:rPr>
            </w:pPr>
          </w:p>
        </w:tc>
      </w:tr>
    </w:tbl>
    <w:p>
      <w:pPr>
        <w:pStyle w:val="P12"/>
        <w:rPr>
          <w:rFonts w:ascii="Cambria" w:hAnsi="Cambria" w:cs="Cambria" w:eastAsia="Cambria"/>
          <w:lang w:val="sv-SE"/>
        </w:rPr>
      </w:pPr>
    </w:p>
    <w:p>
      <w:pPr>
        <w:pStyle w:val="P2"/>
        <w:ind w:firstLine="0" w:left="0"/>
        <w:rPr>
          <w:sz w:val="24"/>
          <w:szCs w:val="24"/>
          <w:lang w:val="sv-SE"/>
        </w:rPr>
      </w:pPr>
      <w:r>
        <w:rPr>
          <w:sz w:val="24"/>
          <w:szCs w:val="24"/>
          <w:lang w:val="sv-SE"/>
        </w:rPr>
        <w:t>ARENGUKAVA ELLUVIIMINE, SEIRE JA UUENDAMINE</w:t>
      </w:r>
    </w:p>
    <w:p>
      <w:pPr>
        <w:pStyle w:val="P12"/>
        <w:rPr>
          <w:rFonts w:ascii="Cambria" w:hAnsi="Cambria" w:cs="Cambria" w:eastAsia="Cambria"/>
          <w:lang w:val="sv-SE"/>
        </w:rPr>
      </w:pPr>
    </w:p>
    <w:p>
      <w:pPr>
        <w:pStyle w:val="P12"/>
        <w:spacing w:after="120" w:beforeAutospacing="0" w:afterAutospacing="0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>ESK arengukava elluviimine ja seire on seotud aastaste tegevuskavade ja ESK tegevuse aruandluse tasemel.</w:t>
      </w:r>
    </w:p>
    <w:p>
      <w:pPr>
        <w:pStyle w:val="P12"/>
        <w:spacing w:after="120" w:beforeAutospacing="0" w:afterAutospacing="0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 xml:space="preserve">ESK aregukava elluviimiseks koostatakse igaks järgmiseks aastaks tegevuskava.  Iga-aastased tegevuskavad  koostab juhatus ja kiidab heaks ESK eestseisus. </w:t>
      </w:r>
    </w:p>
    <w:p>
      <w:pPr>
        <w:pStyle w:val="P12"/>
        <w:spacing w:after="120" w:beforeAutospacing="0" w:afterAutospacing="0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 xml:space="preserve">Arengukava elluviimist seiratakse üldkogule esitatavate ESK aastaste tegevusaruannete kaudu. Aruandes antakse ülevaade eelmise aasta tegevuskava täitmisest arengukavas ette nähtud eesmärkide ja tegevuste lõikes.  </w:t>
      </w:r>
    </w:p>
    <w:p>
      <w:pPr>
        <w:pStyle w:val="P12"/>
        <w:spacing w:after="120" w:beforeAutospacing="0" w:afterAutospacing="0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 xml:space="preserve">ESK üldkogu kinnitab aastaaruande koos otsusega arengukava eesmärkide saavutamisest. Vajadusel tehakse üldkogul, lähtuvalt saavutatust, ettepanekud järgmise aasta tegevuskavasse.  </w:t>
      </w:r>
    </w:p>
    <w:p>
      <w:pPr>
        <w:pStyle w:val="P12"/>
        <w:spacing w:after="120" w:beforeAutospacing="0" w:afterAutospacing="0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 xml:space="preserve">Kui ESK üldkogu näeb vajadust arengukava uuendada, annab üldkogu vastava ülesande eestseisusele. </w:t>
      </w:r>
    </w:p>
    <w:p>
      <w:pPr>
        <w:pStyle w:val="P12"/>
        <w:spacing w:after="120" w:beforeAutospacing="0" w:afterAutospacing="0"/>
        <w:rPr>
          <w:rFonts w:ascii="Cambria" w:hAnsi="Cambria" w:cs="Cambria" w:eastAsia="Cambria"/>
          <w:lang w:val="sv-SE"/>
        </w:rPr>
      </w:pPr>
    </w:p>
    <w:p>
      <w:pPr>
        <w:pStyle w:val="P12"/>
        <w:rPr>
          <w:rFonts w:ascii="Cambria" w:hAnsi="Cambria"/>
          <w:lang w:val="sv-SE"/>
        </w:rPr>
      </w:pPr>
      <w:r>
        <w:rPr>
          <w:rFonts w:ascii="Cambria" w:hAnsi="Cambria" w:cs="Cambria" w:eastAsia="Cambria"/>
          <w:lang w:val="sv-SE"/>
        </w:rPr>
        <w:t xml:space="preserve">Eesti Saarte Kogu arengukava aastani 2030 kinnitati üldkogul </w:t>
      </w:r>
      <w:r>
        <w:rPr>
          <w:rFonts w:ascii="Cambria" w:hAnsi="Cambria" w:cs="Cambria" w:eastAsia="Cambria"/>
          <w:rtl w:val="0"/>
          <w:lang w:val="et-EE" w:bidi="et-EE" w:eastAsia="et-EE"/>
        </w:rPr>
        <w:t>6.detsembril 2023</w:t>
      </w:r>
      <w:r>
        <w:rPr>
          <w:rFonts w:ascii="Cambria" w:hAnsi="Cambria" w:cs="Cambria" w:eastAsia="Cambria"/>
          <w:lang w:val="sv-SE"/>
        </w:rPr>
        <w:t>.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erReference xmlns:r="http://schemas.openxmlformats.org/officeDocument/2006/relationships" w:type="even" r:id="RelFtr3"/>
      <w:footnotePr/>
      <w:endnotePr/>
      <w:type w:val="nextPage"/>
      <w:pgSz w:w="11906" w:h="16838" w:code="0"/>
      <w:pgMar w:left="1417" w:right="1417" w:top="1417" w:bottom="1417" w:header="720" w:footer="720" w:gutter="0"/>
      <w:pgNumType w:start="1" w:chapSep="period"/>
      <w:cols w:equalWidth="1" w:space="720"/>
    </w:sectPr>
  </w:body>
</w:document>
</file>

<file path=word/endnotes.xml><?xml version="1.0" encoding="utf-8"?>
<w:end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2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2"/>
    </w:pPr>
  </w:p>
</w:ftr>
</file>

<file path=word/footer3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2"/>
    </w:pP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xmlns:w14="http://schemas.microsoft.com/office/word/2010/wordml" xmlns:w15="http://schemas.microsoft.com/office/word/2012/wordml" xmlns:cx1="http://schemas.microsoft.com/office/drawing/2015/9/8/chartex" xmlns:cx2="http://schemas.microsoft.com/office/drawing/2015/10/21/chartex" mc:Ignorable="wp14 w14 w15">
  <w:p>
    <w:pPr>
      <w:pStyle w:val="P12"/>
      <w:tabs>
        <w:tab w:val="center" w:pos="4536" w:leader="none"/>
        <w:tab w:val="right" w:pos="9072" w:leader="none"/>
      </w:tabs>
      <w:jc w:val="center"/>
      <w:rPr>
        <w:i w:val="1"/>
        <w:color w:val="000000"/>
      </w:rPr>
    </w:pPr>
  </w:p>
</w:hdr>
</file>

<file path=word/numbering.xml><?xml version="1.0" encoding="utf-8"?>
<w:numbering xmlns:w="http://schemas.openxmlformats.org/wordprocessingml/2006/main">
  <w:abstractNum w:abstractNumId="0">
    <w:nsid w:val="328B3A8C"/>
    <w:multiLevelType w:val="multilevel"/>
    <w:lvl w:ilvl="0">
      <w:start w:val="1"/>
      <w:numFmt w:val="bullet"/>
      <w:suff w:val="tab"/>
      <w:lvlText w:val="●"/>
      <w:lvlJc w:val="left"/>
      <w:pPr>
        <w:ind w:hanging="360" w:left="360"/>
        <w:tabs>
          <w:tab w:val="num" w:pos="0" w:leader="none"/>
        </w:tabs>
      </w:pPr>
      <w:rPr>
        <w:rFonts w:ascii="Noto Sans Symbols" w:hAnsi="Noto Sans Symbols" w:cs="Noto Sans Symbols" w:hint="default"/>
      </w:rPr>
    </w:lvl>
    <w:lvl w:ilvl="1">
      <w:start w:val="1"/>
      <w:numFmt w:val="bullet"/>
      <w:suff w:val="tab"/>
      <w:lvlText w:val="o"/>
      <w:lvlJc w:val="left"/>
      <w:pPr>
        <w:ind w:hanging="360" w:left="1080"/>
        <w:tabs>
          <w:tab w:val="num" w:pos="0" w:leader="none"/>
        </w:tabs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▪"/>
      <w:lvlJc w:val="left"/>
      <w:pPr>
        <w:ind w:hanging="360" w:left="1800"/>
        <w:tabs>
          <w:tab w:val="num" w:pos="0" w:leader="none"/>
        </w:tabs>
      </w:pPr>
      <w:rPr>
        <w:rFonts w:ascii="Noto Sans Symbols" w:hAnsi="Noto Sans Symbols" w:cs="Noto Sans Symbols" w:hint="default"/>
      </w:rPr>
    </w:lvl>
    <w:lvl w:ilvl="3">
      <w:start w:val="1"/>
      <w:numFmt w:val="bullet"/>
      <w:suff w:val="tab"/>
      <w:lvlText w:val="●"/>
      <w:lvlJc w:val="left"/>
      <w:pPr>
        <w:ind w:hanging="360" w:left="2520"/>
        <w:tabs>
          <w:tab w:val="num" w:pos="0" w:leader="none"/>
        </w:tabs>
      </w:pPr>
      <w:rPr>
        <w:rFonts w:ascii="Noto Sans Symbols" w:hAnsi="Noto Sans Symbols" w:cs="Noto Sans Symbols" w:hint="default"/>
      </w:rPr>
    </w:lvl>
    <w:lvl w:ilvl="4">
      <w:start w:val="1"/>
      <w:numFmt w:val="bullet"/>
      <w:suff w:val="tab"/>
      <w:lvlText w:val="o"/>
      <w:lvlJc w:val="left"/>
      <w:pPr>
        <w:ind w:hanging="360" w:left="3240"/>
        <w:tabs>
          <w:tab w:val="num" w:pos="0" w:leader="none"/>
        </w:tabs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▪"/>
      <w:lvlJc w:val="left"/>
      <w:pPr>
        <w:ind w:hanging="360" w:left="3960"/>
        <w:tabs>
          <w:tab w:val="num" w:pos="0" w:leader="none"/>
        </w:tabs>
      </w:pPr>
      <w:rPr>
        <w:rFonts w:ascii="Noto Sans Symbols" w:hAnsi="Noto Sans Symbols" w:cs="Noto Sans Symbols" w:hint="default"/>
      </w:rPr>
    </w:lvl>
    <w:lvl w:ilvl="6">
      <w:start w:val="1"/>
      <w:numFmt w:val="bullet"/>
      <w:suff w:val="tab"/>
      <w:lvlText w:val="●"/>
      <w:lvlJc w:val="left"/>
      <w:pPr>
        <w:ind w:hanging="360" w:left="4680"/>
        <w:tabs>
          <w:tab w:val="num" w:pos="0" w:leader="none"/>
        </w:tabs>
      </w:pPr>
      <w:rPr>
        <w:rFonts w:ascii="Noto Sans Symbols" w:hAnsi="Noto Sans Symbols" w:cs="Noto Sans Symbols" w:hint="default"/>
      </w:rPr>
    </w:lvl>
    <w:lvl w:ilvl="7">
      <w:start w:val="1"/>
      <w:numFmt w:val="bullet"/>
      <w:suff w:val="tab"/>
      <w:lvlText w:val="o"/>
      <w:lvlJc w:val="left"/>
      <w:pPr>
        <w:ind w:hanging="360" w:left="5400"/>
        <w:tabs>
          <w:tab w:val="num" w:pos="0" w:leader="none"/>
        </w:tabs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▪"/>
      <w:lvlJc w:val="left"/>
      <w:pPr>
        <w:ind w:hanging="360" w:left="6120"/>
        <w:tabs>
          <w:tab w:val="num" w:pos="0" w:leader="none"/>
        </w:tabs>
      </w:pPr>
      <w:rPr>
        <w:rFonts w:ascii="Noto Sans Symbols" w:hAnsi="Noto Sans Symbols" w:cs="Noto Sans Symbols" w:hint="default"/>
      </w:rPr>
    </w:lvl>
  </w:abstractNum>
  <w:abstractNum w:abstractNumId="1">
    <w:nsid w:val="53E95AB7"/>
    <w:multiLevelType w:val="multilevel"/>
    <w:lvl w:ilvl="0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1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2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3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4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5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6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7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  <w:lvl w:ilvl="8">
      <w:start w:val="1"/>
      <w:numFmt w:val="none"/>
      <w:suff w:val="nothing"/>
      <w:lvlText w:val=""/>
      <w:lvlJc w:val="left"/>
      <w:pPr>
        <w:ind w:firstLine="0" w:left="0"/>
        <w:tabs>
          <w:tab w:val="num" w:pos="0" w:leader="none"/>
        </w:tabs>
      </w:pPr>
      <w:rPr/>
    </w:lvl>
  </w:abstractNum>
  <w:abstractNum w:abstractNumId="2">
    <w:nsid w:val="5549279A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num" w:pos="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num" w:pos="0" w:leader="none"/>
        </w:tabs>
      </w:pPr>
      <w:rPr/>
    </w:lvl>
    <w:lvl w:ilvl="2">
      <w:start w:val="1"/>
      <w:numFmt w:val="lowerRoman"/>
      <w:suff w:val="tab"/>
      <w:lvlText w:val="%2.%3."/>
      <w:lvlJc w:val="left"/>
      <w:pPr>
        <w:ind w:hanging="180" w:left="1800"/>
        <w:tabs>
          <w:tab w:val="num" w:pos="0" w:leader="none"/>
        </w:tabs>
      </w:pPr>
      <w:rPr/>
    </w:lvl>
    <w:lvl w:ilvl="3">
      <w:start w:val="1"/>
      <w:numFmt w:val="decimal"/>
      <w:suff w:val="tab"/>
      <w:lvlText w:val="%2.%3.%4."/>
      <w:lvlJc w:val="left"/>
      <w:pPr>
        <w:ind w:hanging="360" w:left="2520"/>
        <w:tabs>
          <w:tab w:val="num" w:pos="0" w:leader="none"/>
        </w:tabs>
      </w:pPr>
      <w:rPr/>
    </w:lvl>
    <w:lvl w:ilvl="4">
      <w:start w:val="1"/>
      <w:numFmt w:val="lowerLetter"/>
      <w:suff w:val="tab"/>
      <w:lvlText w:val="%2.%3.%4.%5."/>
      <w:lvlJc w:val="left"/>
      <w:pPr>
        <w:ind w:hanging="360" w:left="3240"/>
        <w:tabs>
          <w:tab w:val="num" w:pos="0" w:leader="none"/>
        </w:tabs>
      </w:pPr>
      <w:rPr/>
    </w:lvl>
    <w:lvl w:ilvl="5">
      <w:start w:val="1"/>
      <w:numFmt w:val="lowerRoman"/>
      <w:suff w:val="tab"/>
      <w:lvlText w:val="%2.%3.%4.%5.%6."/>
      <w:lvlJc w:val="left"/>
      <w:pPr>
        <w:ind w:hanging="180" w:left="3960"/>
        <w:tabs>
          <w:tab w:val="num" w:pos="0" w:leader="none"/>
        </w:tabs>
      </w:pPr>
      <w:rPr/>
    </w:lvl>
    <w:lvl w:ilvl="6">
      <w:start w:val="1"/>
      <w:numFmt w:val="decimal"/>
      <w:suff w:val="tab"/>
      <w:lvlText w:val="%2.%3.%4.%5.%6.%7."/>
      <w:lvlJc w:val="left"/>
      <w:pPr>
        <w:ind w:hanging="360" w:left="4680"/>
        <w:tabs>
          <w:tab w:val="num" w:pos="0" w:leader="none"/>
        </w:tabs>
      </w:pPr>
      <w:rPr/>
    </w:lvl>
    <w:lvl w:ilvl="7">
      <w:start w:val="1"/>
      <w:numFmt w:val="lowerLetter"/>
      <w:suff w:val="tab"/>
      <w:lvlText w:val="%2.%3.%4.%5.%6.%7.%8."/>
      <w:lvlJc w:val="left"/>
      <w:pPr>
        <w:ind w:hanging="360" w:left="5400"/>
        <w:tabs>
          <w:tab w:val="num" w:pos="0" w:leader="none"/>
        </w:tabs>
      </w:pPr>
      <w:rPr/>
    </w:lvl>
    <w:lvl w:ilvl="8">
      <w:start w:val="1"/>
      <w:numFmt w:val="lowerRoman"/>
      <w:suff w:val="tab"/>
      <w:lvlText w:val="%2.%3.%4.%5.%6.%7.%8.%9."/>
      <w:lvlJc w:val="left"/>
      <w:pPr>
        <w:ind w:hanging="180" w:left="6120"/>
        <w:tabs>
          <w:tab w:val="num" w:pos="0" w:leader="none"/>
        </w:tabs>
      </w:pPr>
      <w:rPr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1"/>
  <w:evenAndOddHeaders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footnotePr>
    <w:footnote w:id="-1"/>
    <w:footnote w:id="0"/>
  </w:footnotePr>
  <w:endnotePr>
    <w:endnote w:id="-1"/>
    <w:endnote w:id="0"/>
  </w:endnotePr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cs="Lucida Sans" w:eastAsia="NSimSun"/>
        <w:sz w:val="24"/>
        <w:szCs w:val="24"/>
        <w:lang w:val="en-GB" w:bidi="hi-IN" w:eastAsia="zh-CN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1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/>
  </w:style>
  <w:style w:type="paragraph" w:styleId="P1">
    <w:name w:val="Heading 1"/>
    <w:basedOn w:val="P12"/>
    <w:next w:val="P12"/>
    <w:qFormat/>
    <w:pPr>
      <w:keepNext w:val="1"/>
      <w:keepLines w:val="1"/>
      <w:spacing w:before="480" w:beforeAutospacing="0" w:afterAutospacing="0"/>
      <w:outlineLvl w:val="0"/>
    </w:pPr>
    <w:rPr>
      <w:rFonts w:ascii="Cambria" w:hAnsi="Cambria" w:cs="Cambria" w:eastAsia="Cambria"/>
      <w:b w:val="1"/>
      <w:color w:val="365F91"/>
      <w:sz w:val="28"/>
      <w:szCs w:val="28"/>
    </w:rPr>
  </w:style>
  <w:style w:type="paragraph" w:styleId="P2">
    <w:name w:val="Heading 2"/>
    <w:basedOn w:val="P12"/>
    <w:next w:val="P12"/>
    <w:qFormat/>
    <w:pPr>
      <w:keepNext w:val="1"/>
      <w:keepLines w:val="1"/>
      <w:spacing w:before="200" w:beforeAutospacing="0" w:afterAutospacing="0"/>
      <w:ind w:hanging="360" w:left="1080"/>
      <w:outlineLvl w:val="1"/>
    </w:pPr>
    <w:rPr>
      <w:rFonts w:ascii="Cambria" w:hAnsi="Cambria" w:cs="Cambria" w:eastAsia="Cambria"/>
      <w:b w:val="1"/>
      <w:color w:val="4F81BD"/>
      <w:sz w:val="26"/>
      <w:szCs w:val="26"/>
    </w:rPr>
  </w:style>
  <w:style w:type="paragraph" w:styleId="P3">
    <w:name w:val="Heading 3"/>
    <w:basedOn w:val="P12"/>
    <w:next w:val="P12"/>
    <w:qFormat/>
    <w:pPr>
      <w:keepNext w:val="1"/>
      <w:keepLines w:val="1"/>
      <w:spacing w:before="280" w:after="80" w:beforeAutospacing="0" w:afterAutospacing="0"/>
      <w:outlineLvl w:val="2"/>
    </w:pPr>
    <w:rPr>
      <w:b w:val="1"/>
      <w:sz w:val="28"/>
      <w:szCs w:val="28"/>
    </w:rPr>
  </w:style>
  <w:style w:type="paragraph" w:styleId="P4">
    <w:name w:val="Heading 4"/>
    <w:basedOn w:val="P12"/>
    <w:next w:val="P12"/>
    <w:semiHidden/>
    <w:qFormat/>
    <w:pPr>
      <w:keepNext w:val="1"/>
      <w:keepLines w:val="1"/>
      <w:spacing w:before="240" w:after="40" w:beforeAutospacing="0" w:afterAutospacing="0"/>
      <w:outlineLvl w:val="3"/>
    </w:pPr>
    <w:rPr>
      <w:b w:val="1"/>
    </w:rPr>
  </w:style>
  <w:style w:type="paragraph" w:styleId="P5">
    <w:name w:val="Heading 5"/>
    <w:basedOn w:val="P12"/>
    <w:next w:val="P12"/>
    <w:semiHidden/>
    <w:qFormat/>
    <w:pPr>
      <w:keepNext w:val="1"/>
      <w:keepLines w:val="1"/>
      <w:spacing w:before="220" w:after="40" w:beforeAutospacing="0" w:afterAutospacing="0"/>
      <w:outlineLvl w:val="4"/>
    </w:pPr>
    <w:rPr>
      <w:b w:val="1"/>
      <w:sz w:val="22"/>
      <w:szCs w:val="22"/>
    </w:rPr>
  </w:style>
  <w:style w:type="paragraph" w:styleId="P6">
    <w:name w:val="Heading 6"/>
    <w:basedOn w:val="P12"/>
    <w:next w:val="P12"/>
    <w:semiHidden/>
    <w:qFormat/>
    <w:pPr>
      <w:keepNext w:val="1"/>
      <w:keepLines w:val="1"/>
      <w:spacing w:before="200" w:after="40" w:beforeAutospacing="0" w:afterAutospacing="0"/>
      <w:outlineLvl w:val="5"/>
    </w:pPr>
    <w:rPr>
      <w:b w:val="1"/>
      <w:sz w:val="20"/>
      <w:szCs w:val="20"/>
    </w:rPr>
  </w:style>
  <w:style w:type="paragraph" w:styleId="P7">
    <w:name w:val="Heading"/>
    <w:basedOn w:val="P0"/>
    <w:next w:val="P8"/>
    <w:qFormat/>
    <w:pPr>
      <w:keepNext w:val="1"/>
      <w:spacing w:before="240" w:after="120" w:beforeAutospacing="0" w:afterAutospacing="0"/>
    </w:pPr>
    <w:rPr>
      <w:rFonts w:ascii="Liberation Sans" w:hAnsi="Liberation Sans" w:eastAsia="Microsoft YaHei"/>
      <w:sz w:val="28"/>
      <w:szCs w:val="28"/>
    </w:rPr>
  </w:style>
  <w:style w:type="paragraph" w:styleId="P8">
    <w:name w:val="Body Text"/>
    <w:basedOn w:val="P0"/>
    <w:pPr>
      <w:spacing w:lineRule="auto" w:line="276" w:after="140" w:beforeAutospacing="0" w:afterAutospacing="0"/>
    </w:pPr>
    <w:rPr/>
  </w:style>
  <w:style w:type="paragraph" w:styleId="P9">
    <w:name w:val="List"/>
    <w:basedOn w:val="P8"/>
    <w:pPr/>
    <w:rPr/>
  </w:style>
  <w:style w:type="paragraph" w:styleId="P10">
    <w:name w:val="Caption"/>
    <w:basedOn w:val="P0"/>
    <w:qFormat/>
    <w:pPr>
      <w:suppressLineNumbers w:val="1"/>
      <w:spacing w:before="120" w:after="120" w:beforeAutospacing="0" w:afterAutospacing="0"/>
    </w:pPr>
    <w:rPr>
      <w:i w:val="1"/>
      <w:iCs w:val="1"/>
    </w:rPr>
  </w:style>
  <w:style w:type="paragraph" w:styleId="P11">
    <w:name w:val="Index"/>
    <w:basedOn w:val="P0"/>
    <w:qFormat/>
    <w:pPr>
      <w:suppressLineNumbers w:val="1"/>
    </w:pPr>
    <w:rPr>
      <w:lang/>
    </w:rPr>
  </w:style>
  <w:style w:type="paragraph" w:styleId="P12">
    <w:name w:val="LO-normal"/>
    <w:qFormat/>
    <w:pPr/>
    <w:rPr/>
  </w:style>
  <w:style w:type="paragraph" w:styleId="P13">
    <w:name w:val="Title"/>
    <w:basedOn w:val="P12"/>
    <w:next w:val="P12"/>
    <w:qFormat/>
    <w:pPr>
      <w:keepNext w:val="1"/>
      <w:keepLines w:val="1"/>
      <w:spacing w:before="480" w:after="120" w:beforeAutospacing="0" w:afterAutospacing="0"/>
    </w:pPr>
    <w:rPr>
      <w:b w:val="1"/>
      <w:sz w:val="72"/>
      <w:szCs w:val="72"/>
    </w:rPr>
  </w:style>
  <w:style w:type="paragraph" w:styleId="P14">
    <w:name w:val="Subtitle"/>
    <w:basedOn w:val="P12"/>
    <w:next w:val="P12"/>
    <w:qFormat/>
    <w:pPr>
      <w:keepNext w:val="1"/>
      <w:keepLines w:val="1"/>
      <w:spacing w:before="360" w:after="80" w:beforeAutospacing="0" w:afterAutospacing="0"/>
    </w:pPr>
    <w:rPr>
      <w:rFonts w:ascii="Georgia" w:hAnsi="Georgia" w:cs="Georgia" w:eastAsia="Georgia"/>
      <w:i w:val="1"/>
      <w:color w:val="666666"/>
      <w:sz w:val="48"/>
      <w:szCs w:val="48"/>
    </w:rPr>
  </w:style>
  <w:style w:type="paragraph" w:styleId="P15">
    <w:name w:val="Header and Footer"/>
    <w:basedOn w:val="P0"/>
    <w:qFormat/>
    <w:pPr/>
    <w:rPr/>
  </w:style>
  <w:style w:type="paragraph" w:styleId="P16">
    <w:name w:val="Header"/>
    <w:basedOn w:val="P15"/>
    <w:pPr/>
    <w:rPr/>
  </w:style>
  <w:style w:type="paragraph" w:styleId="P17">
    <w:name w:val="Footer"/>
    <w:basedOn w:val="P15"/>
    <w:pPr/>
    <w:rPr/>
  </w:style>
  <w:style w:type="paragraph" w:styleId="P18">
    <w:name w:val="Footnote Text"/>
    <w:link w:val="C4"/>
    <w:semiHidden/>
    <w:pPr>
      <w:spacing w:lineRule="auto" w:line="240" w:after="0"/>
    </w:pPr>
    <w:rPr>
      <w:sz w:val="20"/>
      <w:szCs w:val="20"/>
    </w:rPr>
  </w:style>
  <w:style w:type="paragraph" w:styleId="P19">
    <w:name w:val="Endnote Text"/>
    <w:link w:val="C6"/>
    <w:semiHidden/>
    <w:pPr>
      <w:spacing w:lineRule="auto" w:line="240" w:after="0"/>
    </w:pPr>
    <w:rPr>
      <w:sz w:val="20"/>
      <w:szCs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Footnote Reference"/>
    <w:semiHidden/>
    <w:rPr>
      <w:vertAlign w:val="superscript"/>
    </w:rPr>
  </w:style>
  <w:style w:type="character" w:styleId="C4">
    <w:name w:val="Footnote Text Char"/>
    <w:link w:val="P18"/>
    <w:semiHidden/>
    <w:rPr>
      <w:sz w:val="20"/>
      <w:szCs w:val="20"/>
    </w:rPr>
  </w:style>
  <w:style w:type="character" w:styleId="C5">
    <w:name w:val="Endnote Reference"/>
    <w:semiHidden/>
    <w:rPr>
      <w:vertAlign w:val="superscript"/>
    </w:rPr>
  </w:style>
  <w:style w:type="character" w:styleId="C6">
    <w:name w:val="Endnote Text Char"/>
    <w:link w:val="P19"/>
    <w:semiHidden/>
    <w:rPr>
      <w:sz w:val="20"/>
      <w:szCs w:val="20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tr3" Type="http://schemas.openxmlformats.org/officeDocument/2006/relationships/footer" Target="footer3.xml" /><Relationship Id="RelFnt1" Type="http://schemas.openxmlformats.org/officeDocument/2006/relationships/footnotes" Target="footnotes.xml" /><Relationship Id="RelEnt1" Type="http://schemas.openxmlformats.org/officeDocument/2006/relationships/endnotes" Target="end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Relationship Id="RelItem1" Type="http://schemas.openxmlformats.org/officeDocument/2006/relationships/customXml" Target="../customXml/item1.xml" /></Relationships>
</file>

<file path=word/_rels/endnotes.xml.rels>&#65279;<?xml version="1.0" encoding="utf-8"?><Relationships xmlns="http://schemas.openxmlformats.org/package/2006/relationships" />
</file>

<file path=word/_rels/footer1.xml.rels>&#65279;<?xml version="1.0" encoding="utf-8"?><Relationships xmlns="http://schemas.openxmlformats.org/package/2006/relationships" />
</file>

<file path=word/_rels/footer2.xml.rels>&#65279;<?xml version="1.0" encoding="utf-8"?><Relationships xmlns="http://schemas.openxmlformats.org/package/2006/relationships" />
</file>

<file path=word/_rels/footer3.xml.rels>&#65279;<?xml version="1.0" encoding="utf-8"?><Relationships xmlns="http://schemas.openxmlformats.org/package/2006/relationships" />
</file>

<file path=word/_rels/footnotes.xml.rels>&#65279;<?xml version="1.0" encoding="utf-8"?><Relationships xmlns="http://schemas.openxmlformats.org/package/2006/relationships" />
</file>

<file path=word/_rels/header1.xml.rels>&#65279;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JhjxFndnzY0ErIQ9B86NNo6l7cA==">CgMxLjAyDGguNnBmcmx1MjV3aTIOaC41b3VrcW0yejUzdHI4AHIhMUNzTUpVT0swbWFISVkxTzNMR3plTWx0aUY0bEctQjUy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microsoft.com/vsto/samples"/>
  </ds:schemaRefs>
</ds:datastoreItem>
</file>

<file path=docProps/app.xml><?xml version="1.0" encoding="utf-8"?>
<Properties xmlns="http://schemas.openxmlformats.org/officeDocument/2006/extended-properties">
  <Application>DevExpress Office File API/23.1.4.0</Application>
  <AppVersion>23.1</AppVersion>
  <Template>Normal</Template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Riina Kaljulaid</dc:creator>
  <dcterms:created xsi:type="dcterms:W3CDTF">2023-11-19T18:16:00Z</dcterms:created>
  <dc:language>et-EE</dc:language>
  <cp:lastModifiedBy>Jana Stahl</cp:lastModifiedBy>
  <dcterms:modified xsi:type="dcterms:W3CDTF">2024-02-08T14:51:39Z</dcterms:modified>
  <cp:revision>3</cp:revision>
</cp:coreProperties>
</file>